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B5" w:rsidRPr="009320C9" w:rsidRDefault="00BD38AA" w:rsidP="001809B5">
      <w:pPr>
        <w:rPr>
          <w:rFonts w:ascii="Times New Roman" w:hAnsi="Times New Roman" w:cs="Times New Roman"/>
          <w:b/>
          <w:sz w:val="28"/>
          <w:szCs w:val="28"/>
        </w:rPr>
      </w:pPr>
      <w:r w:rsidRPr="009320C9">
        <w:rPr>
          <w:rFonts w:ascii="Times New Roman" w:hAnsi="Times New Roman" w:cs="Times New Roman"/>
          <w:b/>
          <w:sz w:val="28"/>
          <w:szCs w:val="28"/>
        </w:rPr>
        <w:t xml:space="preserve">Influence of </w:t>
      </w:r>
      <w:r w:rsidR="00B462B7" w:rsidRPr="009320C9">
        <w:rPr>
          <w:rFonts w:ascii="Times New Roman" w:hAnsi="Times New Roman" w:cs="Times New Roman"/>
          <w:b/>
          <w:sz w:val="28"/>
          <w:szCs w:val="28"/>
        </w:rPr>
        <w:t xml:space="preserve">ion-implantation </w:t>
      </w:r>
      <w:r w:rsidRPr="009320C9">
        <w:rPr>
          <w:rFonts w:ascii="Times New Roman" w:hAnsi="Times New Roman" w:cs="Times New Roman"/>
          <w:b/>
          <w:sz w:val="28"/>
          <w:szCs w:val="28"/>
        </w:rPr>
        <w:t xml:space="preserve">on thermoluminescence </w:t>
      </w:r>
      <w:r w:rsidR="00B462B7" w:rsidRPr="009320C9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1809B5" w:rsidRPr="009320C9">
        <w:rPr>
          <w:rFonts w:ascii="Times New Roman" w:hAnsi="Times New Roman" w:cs="Times New Roman"/>
          <w:b/>
          <w:sz w:val="28"/>
          <w:szCs w:val="28"/>
        </w:rPr>
        <w:t>synthetic quartz</w:t>
      </w:r>
    </w:p>
    <w:p w:rsidR="001809B5" w:rsidRPr="009320C9" w:rsidRDefault="001809B5" w:rsidP="001809B5">
      <w:pPr>
        <w:rPr>
          <w:rFonts w:ascii="Times New Roman" w:hAnsi="Times New Roman" w:cs="Times New Roman"/>
        </w:rPr>
      </w:pPr>
    </w:p>
    <w:p w:rsidR="001809B5" w:rsidRPr="009320C9" w:rsidRDefault="001809B5" w:rsidP="001809B5">
      <w:pPr>
        <w:pStyle w:val="Heading1"/>
        <w:jc w:val="left"/>
        <w:rPr>
          <w:b w:val="0"/>
          <w:sz w:val="24"/>
        </w:rPr>
      </w:pPr>
      <w:r w:rsidRPr="009320C9">
        <w:rPr>
          <w:b w:val="0"/>
          <w:sz w:val="24"/>
        </w:rPr>
        <w:t xml:space="preserve">S. </w:t>
      </w:r>
      <w:proofErr w:type="spellStart"/>
      <w:r w:rsidRPr="009320C9">
        <w:rPr>
          <w:b w:val="0"/>
          <w:sz w:val="24"/>
        </w:rPr>
        <w:t>Nsengiyumva</w:t>
      </w:r>
      <w:r w:rsidRPr="009320C9">
        <w:rPr>
          <w:b w:val="0"/>
          <w:sz w:val="24"/>
          <w:vertAlign w:val="superscript"/>
        </w:rPr>
        <w:t>a</w:t>
      </w:r>
      <w:proofErr w:type="spellEnd"/>
      <w:r w:rsidRPr="009320C9">
        <w:rPr>
          <w:b w:val="0"/>
          <w:sz w:val="24"/>
        </w:rPr>
        <w:t xml:space="preserve">, L. </w:t>
      </w:r>
      <w:proofErr w:type="spellStart"/>
      <w:r w:rsidRPr="009320C9">
        <w:rPr>
          <w:b w:val="0"/>
          <w:sz w:val="24"/>
        </w:rPr>
        <w:t>Pichon</w:t>
      </w:r>
      <w:r w:rsidRPr="009320C9">
        <w:rPr>
          <w:b w:val="0"/>
          <w:sz w:val="24"/>
          <w:vertAlign w:val="superscript"/>
        </w:rPr>
        <w:t>b</w:t>
      </w:r>
      <w:proofErr w:type="spellEnd"/>
      <w:r w:rsidRPr="009320C9">
        <w:rPr>
          <w:b w:val="0"/>
          <w:sz w:val="24"/>
        </w:rPr>
        <w:t xml:space="preserve">, and M.L. </w:t>
      </w:r>
      <w:proofErr w:type="spellStart"/>
      <w:r w:rsidRPr="009320C9">
        <w:rPr>
          <w:b w:val="0"/>
          <w:sz w:val="24"/>
        </w:rPr>
        <w:t>Chithambo</w:t>
      </w:r>
      <w:r w:rsidRPr="009320C9">
        <w:rPr>
          <w:b w:val="0"/>
          <w:sz w:val="24"/>
          <w:vertAlign w:val="superscript"/>
        </w:rPr>
        <w:t>a</w:t>
      </w:r>
      <w:proofErr w:type="spellEnd"/>
      <w:r w:rsidRPr="009320C9">
        <w:rPr>
          <w:b w:val="0"/>
          <w:sz w:val="24"/>
        </w:rPr>
        <w:t xml:space="preserve"> </w:t>
      </w:r>
    </w:p>
    <w:p w:rsidR="001809B5" w:rsidRPr="009320C9" w:rsidRDefault="001809B5" w:rsidP="001809B5">
      <w:pPr>
        <w:pStyle w:val="MTDisplayEquation"/>
      </w:pPr>
      <w:r w:rsidRPr="009320C9">
        <w:tab/>
      </w:r>
      <w:r w:rsidRPr="009320C9">
        <w:rPr>
          <w:position w:val="-4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pt" o:ole="">
            <v:imagedata r:id="rId5" o:title=""/>
          </v:shape>
          <o:OLEObject Type="Embed" ProgID="Equation.DSMT4" ShapeID="_x0000_i1025" DrawAspect="Content" ObjectID="_1422082294" r:id="rId6"/>
        </w:object>
      </w:r>
    </w:p>
    <w:p w:rsidR="001809B5" w:rsidRPr="009320C9" w:rsidRDefault="001809B5" w:rsidP="001809B5">
      <w:pPr>
        <w:pStyle w:val="BodyText"/>
        <w:jc w:val="left"/>
        <w:rPr>
          <w:i/>
          <w:sz w:val="24"/>
        </w:rPr>
      </w:pPr>
      <w:r w:rsidRPr="009320C9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9320C9">
        <w:rPr>
          <w:i/>
          <w:sz w:val="24"/>
          <w:vertAlign w:val="superscript"/>
        </w:rPr>
        <w:t>a</w:t>
      </w:r>
      <w:r w:rsidRPr="009320C9">
        <w:rPr>
          <w:i/>
          <w:sz w:val="24"/>
        </w:rPr>
        <w:t>Department</w:t>
      </w:r>
      <w:proofErr w:type="spellEnd"/>
      <w:proofErr w:type="gramEnd"/>
      <w:r w:rsidRPr="009320C9">
        <w:rPr>
          <w:i/>
          <w:sz w:val="24"/>
        </w:rPr>
        <w:t xml:space="preserve"> of Physics</w:t>
      </w:r>
      <w:r w:rsidR="00212FC9" w:rsidRPr="009320C9">
        <w:rPr>
          <w:i/>
          <w:sz w:val="24"/>
        </w:rPr>
        <w:t xml:space="preserve"> and Electronics</w:t>
      </w:r>
      <w:r w:rsidRPr="009320C9">
        <w:rPr>
          <w:i/>
          <w:sz w:val="24"/>
        </w:rPr>
        <w:t>, Rhodes University, Grahamstown 6140, South Africa</w:t>
      </w:r>
    </w:p>
    <w:p w:rsidR="001809B5" w:rsidRPr="009320C9" w:rsidRDefault="001809B5" w:rsidP="001809B5">
      <w:pPr>
        <w:pStyle w:val="BodyText"/>
        <w:jc w:val="left"/>
        <w:rPr>
          <w:i/>
          <w:sz w:val="24"/>
        </w:rPr>
      </w:pPr>
      <w:proofErr w:type="spellStart"/>
      <w:proofErr w:type="gramStart"/>
      <w:r w:rsidRPr="009320C9">
        <w:rPr>
          <w:i/>
          <w:sz w:val="24"/>
          <w:vertAlign w:val="superscript"/>
        </w:rPr>
        <w:t>b</w:t>
      </w:r>
      <w:r w:rsidRPr="009320C9">
        <w:rPr>
          <w:i/>
          <w:sz w:val="24"/>
        </w:rPr>
        <w:t>Department</w:t>
      </w:r>
      <w:proofErr w:type="spellEnd"/>
      <w:proofErr w:type="gramEnd"/>
      <w:r w:rsidRPr="009320C9">
        <w:rPr>
          <w:i/>
          <w:sz w:val="24"/>
        </w:rPr>
        <w:t xml:space="preserve"> of Chemistry, Poitiers University, 86010 Poitiers </w:t>
      </w:r>
      <w:proofErr w:type="spellStart"/>
      <w:r w:rsidRPr="009320C9">
        <w:rPr>
          <w:i/>
          <w:sz w:val="24"/>
        </w:rPr>
        <w:t>Cedex</w:t>
      </w:r>
      <w:proofErr w:type="spellEnd"/>
      <w:r w:rsidRPr="009320C9">
        <w:rPr>
          <w:i/>
          <w:sz w:val="24"/>
        </w:rPr>
        <w:t>, France</w:t>
      </w:r>
    </w:p>
    <w:p w:rsidR="001809B5" w:rsidRPr="009320C9" w:rsidRDefault="001809B5" w:rsidP="001809B5">
      <w:pPr>
        <w:rPr>
          <w:rFonts w:ascii="Times New Roman" w:hAnsi="Times New Roman" w:cs="Times New Roman"/>
        </w:rPr>
      </w:pPr>
    </w:p>
    <w:p w:rsidR="002A07E0" w:rsidRPr="009320C9" w:rsidRDefault="00154FB6" w:rsidP="009320C9">
      <w:pPr>
        <w:jc w:val="both"/>
        <w:rPr>
          <w:rFonts w:ascii="Times New Roman" w:hAnsi="Times New Roman" w:cs="Times New Roman"/>
        </w:rPr>
      </w:pPr>
      <w:r w:rsidRPr="009320C9">
        <w:rPr>
          <w:rFonts w:ascii="Times New Roman" w:hAnsi="Times New Roman" w:cs="Times New Roman"/>
        </w:rPr>
        <w:t>Thermoluminescence of s</w:t>
      </w:r>
      <w:r w:rsidR="00BD38AA" w:rsidRPr="009320C9">
        <w:rPr>
          <w:rFonts w:ascii="Times New Roman" w:hAnsi="Times New Roman" w:cs="Times New Roman"/>
        </w:rPr>
        <w:t>ynthetic quar</w:t>
      </w:r>
      <w:r w:rsidR="00DE0561" w:rsidRPr="009320C9">
        <w:rPr>
          <w:rFonts w:ascii="Times New Roman" w:hAnsi="Times New Roman" w:cs="Times New Roman"/>
        </w:rPr>
        <w:t xml:space="preserve">tz </w:t>
      </w:r>
      <w:r w:rsidRPr="009320C9">
        <w:rPr>
          <w:rFonts w:ascii="Times New Roman" w:hAnsi="Times New Roman" w:cs="Times New Roman"/>
        </w:rPr>
        <w:t>exposed to beta irradiation following i</w:t>
      </w:r>
      <w:r w:rsidR="00DE0561" w:rsidRPr="009320C9">
        <w:rPr>
          <w:rFonts w:ascii="Times New Roman" w:hAnsi="Times New Roman" w:cs="Times New Roman"/>
        </w:rPr>
        <w:t>mplant</w:t>
      </w:r>
      <w:r w:rsidRPr="009320C9">
        <w:rPr>
          <w:rFonts w:ascii="Times New Roman" w:hAnsi="Times New Roman" w:cs="Times New Roman"/>
        </w:rPr>
        <w:t>ation</w:t>
      </w:r>
      <w:r w:rsidR="00DE0561" w:rsidRPr="009320C9">
        <w:rPr>
          <w:rFonts w:ascii="Times New Roman" w:hAnsi="Times New Roman" w:cs="Times New Roman"/>
        </w:rPr>
        <w:t xml:space="preserve"> with 6</w:t>
      </w:r>
      <w:r w:rsidR="00BD38AA" w:rsidRPr="009320C9">
        <w:rPr>
          <w:rFonts w:ascii="Times New Roman" w:hAnsi="Times New Roman" w:cs="Times New Roman"/>
        </w:rPr>
        <w:t xml:space="preserve">0 </w:t>
      </w:r>
      <w:proofErr w:type="spellStart"/>
      <w:r w:rsidR="00BD38AA" w:rsidRPr="009320C9">
        <w:rPr>
          <w:rFonts w:ascii="Times New Roman" w:hAnsi="Times New Roman" w:cs="Times New Roman"/>
        </w:rPr>
        <w:t>keV</w:t>
      </w:r>
      <w:proofErr w:type="spellEnd"/>
      <w:r w:rsidR="00BD38AA" w:rsidRPr="009320C9">
        <w:rPr>
          <w:rFonts w:ascii="Times New Roman" w:hAnsi="Times New Roman" w:cs="Times New Roman"/>
        </w:rPr>
        <w:t xml:space="preserve"> N</w:t>
      </w:r>
      <w:r w:rsidR="00BD38AA" w:rsidRPr="009320C9">
        <w:rPr>
          <w:rFonts w:ascii="Times New Roman" w:hAnsi="Times New Roman" w:cs="Times New Roman"/>
          <w:vertAlign w:val="superscript"/>
        </w:rPr>
        <w:t>+</w:t>
      </w:r>
      <w:r w:rsidR="00BD38AA" w:rsidRPr="009320C9">
        <w:rPr>
          <w:rFonts w:ascii="Times New Roman" w:hAnsi="Times New Roman" w:cs="Times New Roman"/>
        </w:rPr>
        <w:t xml:space="preserve"> ions at </w:t>
      </w:r>
      <w:proofErr w:type="spellStart"/>
      <w:r w:rsidR="00BD38AA" w:rsidRPr="009320C9">
        <w:rPr>
          <w:rFonts w:ascii="Times New Roman" w:hAnsi="Times New Roman" w:cs="Times New Roman"/>
        </w:rPr>
        <w:t>fluences</w:t>
      </w:r>
      <w:proofErr w:type="spellEnd"/>
      <w:r w:rsidR="00BD38AA" w:rsidRPr="009320C9">
        <w:rPr>
          <w:rFonts w:ascii="Times New Roman" w:hAnsi="Times New Roman" w:cs="Times New Roman"/>
        </w:rPr>
        <w:t xml:space="preserve"> ranging between 1x10</w:t>
      </w:r>
      <w:r w:rsidR="00BD38AA" w:rsidRPr="009320C9">
        <w:rPr>
          <w:rFonts w:ascii="Times New Roman" w:hAnsi="Times New Roman" w:cs="Times New Roman"/>
          <w:vertAlign w:val="superscript"/>
        </w:rPr>
        <w:t xml:space="preserve">14 </w:t>
      </w:r>
      <w:r w:rsidR="00BD38AA" w:rsidRPr="009320C9">
        <w:rPr>
          <w:rFonts w:ascii="Times New Roman" w:hAnsi="Times New Roman" w:cs="Times New Roman"/>
        </w:rPr>
        <w:t>and 5x10</w:t>
      </w:r>
      <w:r w:rsidR="00BD38AA" w:rsidRPr="009320C9">
        <w:rPr>
          <w:rFonts w:ascii="Times New Roman" w:hAnsi="Times New Roman" w:cs="Times New Roman"/>
          <w:vertAlign w:val="superscript"/>
        </w:rPr>
        <w:t xml:space="preserve">15 </w:t>
      </w:r>
      <w:r w:rsidR="00BD38AA" w:rsidRPr="009320C9">
        <w:rPr>
          <w:rFonts w:ascii="Times New Roman" w:hAnsi="Times New Roman" w:cs="Times New Roman"/>
        </w:rPr>
        <w:t>ions/cm</w:t>
      </w:r>
      <w:r w:rsidR="00BD38AA" w:rsidRPr="009320C9">
        <w:rPr>
          <w:rFonts w:ascii="Times New Roman" w:hAnsi="Times New Roman" w:cs="Times New Roman"/>
          <w:vertAlign w:val="superscript"/>
        </w:rPr>
        <w:t>2</w:t>
      </w:r>
      <w:r w:rsidRPr="009320C9">
        <w:rPr>
          <w:rFonts w:ascii="Times New Roman" w:hAnsi="Times New Roman" w:cs="Times New Roman"/>
        </w:rPr>
        <w:t xml:space="preserve"> is reported.</w:t>
      </w:r>
      <w:r w:rsidR="00BD38AA" w:rsidRPr="009320C9">
        <w:rPr>
          <w:rFonts w:ascii="Times New Roman" w:hAnsi="Times New Roman" w:cs="Times New Roman"/>
        </w:rPr>
        <w:t xml:space="preserve"> </w:t>
      </w:r>
      <w:r w:rsidR="009E3539" w:rsidRPr="009320C9">
        <w:rPr>
          <w:rFonts w:ascii="Times New Roman" w:hAnsi="Times New Roman" w:cs="Times New Roman"/>
        </w:rPr>
        <w:t>The</w:t>
      </w:r>
      <w:r w:rsidR="00565D6E" w:rsidRPr="009320C9">
        <w:rPr>
          <w:rFonts w:ascii="Times New Roman" w:hAnsi="Times New Roman" w:cs="Times New Roman"/>
        </w:rPr>
        <w:t xml:space="preserve"> </w:t>
      </w:r>
      <w:r w:rsidR="009F6927" w:rsidRPr="009320C9">
        <w:rPr>
          <w:rFonts w:ascii="Times New Roman" w:hAnsi="Times New Roman" w:cs="Times New Roman"/>
        </w:rPr>
        <w:t>glow curve</w:t>
      </w:r>
      <w:r w:rsidR="00565D6E" w:rsidRPr="009320C9">
        <w:rPr>
          <w:rFonts w:ascii="Times New Roman" w:hAnsi="Times New Roman" w:cs="Times New Roman"/>
        </w:rPr>
        <w:t xml:space="preserve"> measured </w:t>
      </w:r>
      <w:proofErr w:type="gramStart"/>
      <w:r w:rsidR="00565D6E" w:rsidRPr="009320C9">
        <w:rPr>
          <w:rFonts w:ascii="Times New Roman" w:hAnsi="Times New Roman" w:cs="Times New Roman"/>
        </w:rPr>
        <w:t xml:space="preserve">at </w:t>
      </w:r>
      <w:r w:rsidR="009320C9" w:rsidRPr="009320C9">
        <w:rPr>
          <w:rFonts w:ascii="Times New Roman" w:hAnsi="Times New Roman" w:cs="Times New Roman"/>
        </w:rPr>
        <w:br/>
      </w:r>
      <w:r w:rsidR="00565D6E" w:rsidRPr="009320C9">
        <w:rPr>
          <w:rFonts w:ascii="Times New Roman" w:hAnsi="Times New Roman" w:cs="Times New Roman"/>
        </w:rPr>
        <w:t xml:space="preserve">5 </w:t>
      </w:r>
      <w:proofErr w:type="spellStart"/>
      <w:r w:rsidR="00565D6E" w:rsidRPr="009320C9">
        <w:rPr>
          <w:rFonts w:ascii="Times New Roman" w:hAnsi="Times New Roman" w:cs="Times New Roman"/>
          <w:vertAlign w:val="superscript"/>
        </w:rPr>
        <w:t>o</w:t>
      </w:r>
      <w:r w:rsidR="00565D6E" w:rsidRPr="009320C9">
        <w:rPr>
          <w:rFonts w:ascii="Times New Roman" w:hAnsi="Times New Roman" w:cs="Times New Roman"/>
        </w:rPr>
        <w:t>C</w:t>
      </w:r>
      <w:proofErr w:type="spellEnd"/>
      <w:r w:rsidR="00565D6E" w:rsidRPr="009320C9">
        <w:rPr>
          <w:rFonts w:ascii="Times New Roman" w:hAnsi="Times New Roman" w:cs="Times New Roman"/>
        </w:rPr>
        <w:t>/</w:t>
      </w:r>
      <w:r w:rsidR="009F6927" w:rsidRPr="009320C9">
        <w:rPr>
          <w:rFonts w:ascii="Times New Roman" w:hAnsi="Times New Roman" w:cs="Times New Roman"/>
        </w:rPr>
        <w:t>s</w:t>
      </w:r>
      <w:proofErr w:type="gramEnd"/>
      <w:r w:rsidR="009F6927" w:rsidRPr="009320C9">
        <w:rPr>
          <w:rFonts w:ascii="Times New Roman" w:hAnsi="Times New Roman" w:cs="Times New Roman"/>
        </w:rPr>
        <w:t xml:space="preserve"> </w:t>
      </w:r>
      <w:r w:rsidR="00565D6E" w:rsidRPr="009320C9">
        <w:rPr>
          <w:rFonts w:ascii="Times New Roman" w:hAnsi="Times New Roman" w:cs="Times New Roman"/>
        </w:rPr>
        <w:t xml:space="preserve">consists of the main peak at 110 </w:t>
      </w:r>
      <w:proofErr w:type="spellStart"/>
      <w:r w:rsidR="00565D6E" w:rsidRPr="009320C9">
        <w:rPr>
          <w:rFonts w:ascii="Times New Roman" w:hAnsi="Times New Roman" w:cs="Times New Roman"/>
          <w:vertAlign w:val="superscript"/>
        </w:rPr>
        <w:t>o</w:t>
      </w:r>
      <w:r w:rsidR="00565D6E" w:rsidRPr="009320C9">
        <w:rPr>
          <w:rFonts w:ascii="Times New Roman" w:hAnsi="Times New Roman" w:cs="Times New Roman"/>
        </w:rPr>
        <w:t>C</w:t>
      </w:r>
      <w:proofErr w:type="spellEnd"/>
      <w:r w:rsidR="00425CEA" w:rsidRPr="009320C9">
        <w:rPr>
          <w:rFonts w:ascii="Times New Roman" w:hAnsi="Times New Roman" w:cs="Times New Roman"/>
        </w:rPr>
        <w:t>,</w:t>
      </w:r>
      <w:r w:rsidR="00565D6E" w:rsidRPr="009320C9">
        <w:rPr>
          <w:rFonts w:ascii="Times New Roman" w:hAnsi="Times New Roman" w:cs="Times New Roman"/>
        </w:rPr>
        <w:t xml:space="preserve"> </w:t>
      </w:r>
      <w:r w:rsidR="00425CEA" w:rsidRPr="009320C9">
        <w:rPr>
          <w:rFonts w:ascii="Times New Roman" w:hAnsi="Times New Roman" w:cs="Times New Roman"/>
        </w:rPr>
        <w:t xml:space="preserve">studied in this work, </w:t>
      </w:r>
      <w:r w:rsidR="009320C9" w:rsidRPr="009320C9">
        <w:rPr>
          <w:rFonts w:ascii="Times New Roman" w:hAnsi="Times New Roman" w:cs="Times New Roman"/>
        </w:rPr>
        <w:t xml:space="preserve">and minor glow-peaks </w:t>
      </w:r>
      <w:r w:rsidR="00E25B4E">
        <w:rPr>
          <w:rFonts w:ascii="Times New Roman" w:hAnsi="Times New Roman" w:cs="Times New Roman"/>
        </w:rPr>
        <w:t xml:space="preserve">at </w:t>
      </w:r>
      <w:r w:rsidR="009320C9" w:rsidRPr="009320C9">
        <w:rPr>
          <w:rFonts w:ascii="Times New Roman" w:hAnsi="Times New Roman" w:cs="Times New Roman"/>
        </w:rPr>
        <w:t xml:space="preserve">180 </w:t>
      </w:r>
      <w:proofErr w:type="spellStart"/>
      <w:r w:rsidR="00565D6E" w:rsidRPr="009320C9">
        <w:rPr>
          <w:rFonts w:ascii="Times New Roman" w:hAnsi="Times New Roman" w:cs="Times New Roman"/>
          <w:vertAlign w:val="superscript"/>
        </w:rPr>
        <w:t>o</w:t>
      </w:r>
      <w:r w:rsidR="00565D6E" w:rsidRPr="009320C9">
        <w:rPr>
          <w:rFonts w:ascii="Times New Roman" w:hAnsi="Times New Roman" w:cs="Times New Roman"/>
        </w:rPr>
        <w:t>C</w:t>
      </w:r>
      <w:proofErr w:type="spellEnd"/>
      <w:r w:rsidR="00565D6E" w:rsidRPr="009320C9">
        <w:rPr>
          <w:rFonts w:ascii="Times New Roman" w:hAnsi="Times New Roman" w:cs="Times New Roman"/>
        </w:rPr>
        <w:t xml:space="preserve"> and </w:t>
      </w:r>
      <w:r w:rsidR="00E25B4E">
        <w:rPr>
          <w:rFonts w:ascii="Times New Roman" w:hAnsi="Times New Roman" w:cs="Times New Roman"/>
        </w:rPr>
        <w:br/>
      </w:r>
      <w:r w:rsidR="009320C9" w:rsidRPr="009320C9">
        <w:rPr>
          <w:rFonts w:ascii="Times New Roman" w:hAnsi="Times New Roman" w:cs="Times New Roman"/>
        </w:rPr>
        <w:t>230</w:t>
      </w:r>
      <w:r w:rsidR="00565D6E" w:rsidRPr="009320C9">
        <w:rPr>
          <w:rFonts w:ascii="Times New Roman" w:hAnsi="Times New Roman" w:cs="Times New Roman"/>
        </w:rPr>
        <w:t xml:space="preserve"> </w:t>
      </w:r>
      <w:proofErr w:type="spellStart"/>
      <w:r w:rsidR="00565D6E" w:rsidRPr="009320C9">
        <w:rPr>
          <w:rFonts w:ascii="Times New Roman" w:hAnsi="Times New Roman" w:cs="Times New Roman"/>
          <w:vertAlign w:val="superscript"/>
        </w:rPr>
        <w:t>o</w:t>
      </w:r>
      <w:r w:rsidR="00565D6E" w:rsidRPr="009320C9">
        <w:rPr>
          <w:rFonts w:ascii="Times New Roman" w:hAnsi="Times New Roman" w:cs="Times New Roman"/>
        </w:rPr>
        <w:t>C</w:t>
      </w:r>
      <w:proofErr w:type="spellEnd"/>
      <w:r w:rsidR="009320C9" w:rsidRPr="009320C9">
        <w:rPr>
          <w:rFonts w:ascii="Times New Roman" w:hAnsi="Times New Roman" w:cs="Times New Roman"/>
        </w:rPr>
        <w:t>.</w:t>
      </w:r>
      <w:r w:rsidR="00565D6E" w:rsidRPr="009320C9">
        <w:rPr>
          <w:rFonts w:ascii="Times New Roman" w:hAnsi="Times New Roman" w:cs="Times New Roman"/>
        </w:rPr>
        <w:t xml:space="preserve"> </w:t>
      </w:r>
      <w:proofErr w:type="gramStart"/>
      <w:r w:rsidR="00FB31F9" w:rsidRPr="009320C9">
        <w:rPr>
          <w:rFonts w:ascii="Times New Roman" w:hAnsi="Times New Roman" w:cs="Times New Roman"/>
        </w:rPr>
        <w:t>The</w:t>
      </w:r>
      <w:proofErr w:type="gramEnd"/>
      <w:r w:rsidR="00FB31F9" w:rsidRPr="009320C9">
        <w:rPr>
          <w:rFonts w:ascii="Times New Roman" w:hAnsi="Times New Roman" w:cs="Times New Roman"/>
        </w:rPr>
        <w:t xml:space="preserve"> </w:t>
      </w:r>
      <w:r w:rsidR="00ED1F26" w:rsidRPr="009320C9">
        <w:rPr>
          <w:rFonts w:ascii="Times New Roman" w:hAnsi="Times New Roman" w:cs="Times New Roman"/>
        </w:rPr>
        <w:t xml:space="preserve">thermoluminescence intensity </w:t>
      </w:r>
      <w:r w:rsidR="00F7488D" w:rsidRPr="009320C9">
        <w:rPr>
          <w:rFonts w:ascii="Times New Roman" w:hAnsi="Times New Roman" w:cs="Times New Roman"/>
        </w:rPr>
        <w:t xml:space="preserve">decreases </w:t>
      </w:r>
      <w:r w:rsidR="00ED1F26" w:rsidRPr="009320C9">
        <w:rPr>
          <w:rFonts w:ascii="Times New Roman" w:hAnsi="Times New Roman" w:cs="Times New Roman"/>
        </w:rPr>
        <w:t xml:space="preserve">as the </w:t>
      </w:r>
      <w:proofErr w:type="spellStart"/>
      <w:r w:rsidR="00ED1F26" w:rsidRPr="009320C9">
        <w:rPr>
          <w:rFonts w:ascii="Times New Roman" w:hAnsi="Times New Roman" w:cs="Times New Roman"/>
        </w:rPr>
        <w:t>fluence</w:t>
      </w:r>
      <w:proofErr w:type="spellEnd"/>
      <w:r w:rsidR="00ED1F26" w:rsidRPr="009320C9">
        <w:rPr>
          <w:rFonts w:ascii="Times New Roman" w:hAnsi="Times New Roman" w:cs="Times New Roman"/>
        </w:rPr>
        <w:t xml:space="preserve"> </w:t>
      </w:r>
      <w:r w:rsidR="00F7488D" w:rsidRPr="009320C9">
        <w:rPr>
          <w:rFonts w:ascii="Times New Roman" w:hAnsi="Times New Roman" w:cs="Times New Roman"/>
        </w:rPr>
        <w:t xml:space="preserve">is </w:t>
      </w:r>
      <w:r w:rsidR="00ED1F26" w:rsidRPr="009320C9">
        <w:rPr>
          <w:rFonts w:ascii="Times New Roman" w:hAnsi="Times New Roman" w:cs="Times New Roman"/>
        </w:rPr>
        <w:t>increase</w:t>
      </w:r>
      <w:r w:rsidR="00F7488D" w:rsidRPr="009320C9">
        <w:rPr>
          <w:rFonts w:ascii="Times New Roman" w:hAnsi="Times New Roman" w:cs="Times New Roman"/>
        </w:rPr>
        <w:t>d</w:t>
      </w:r>
      <w:r w:rsidR="00DE0561" w:rsidRPr="009320C9">
        <w:rPr>
          <w:rFonts w:ascii="Times New Roman" w:hAnsi="Times New Roman" w:cs="Times New Roman"/>
        </w:rPr>
        <w:t>,</w:t>
      </w:r>
      <w:r w:rsidR="009E3539" w:rsidRPr="009320C9">
        <w:rPr>
          <w:rFonts w:ascii="Times New Roman" w:hAnsi="Times New Roman" w:cs="Times New Roman"/>
        </w:rPr>
        <w:t xml:space="preserve"> independently of the heating rate</w:t>
      </w:r>
      <w:r w:rsidR="00ED1F26" w:rsidRPr="009320C9">
        <w:rPr>
          <w:rFonts w:ascii="Times New Roman" w:hAnsi="Times New Roman" w:cs="Times New Roman"/>
        </w:rPr>
        <w:t xml:space="preserve">. However </w:t>
      </w:r>
      <w:r w:rsidR="00E37A8B" w:rsidRPr="009320C9">
        <w:rPr>
          <w:rFonts w:ascii="Times New Roman" w:hAnsi="Times New Roman" w:cs="Times New Roman"/>
        </w:rPr>
        <w:t xml:space="preserve">for a particular sample and </w:t>
      </w:r>
      <w:proofErr w:type="spellStart"/>
      <w:r w:rsidR="00E37A8B" w:rsidRPr="009320C9">
        <w:rPr>
          <w:rFonts w:ascii="Times New Roman" w:hAnsi="Times New Roman" w:cs="Times New Roman"/>
        </w:rPr>
        <w:t>fluence</w:t>
      </w:r>
      <w:proofErr w:type="spellEnd"/>
      <w:r w:rsidR="00E37A8B" w:rsidRPr="009320C9">
        <w:rPr>
          <w:rFonts w:ascii="Times New Roman" w:hAnsi="Times New Roman" w:cs="Times New Roman"/>
        </w:rPr>
        <w:t xml:space="preserve">, the </w:t>
      </w:r>
      <w:proofErr w:type="spellStart"/>
      <w:r w:rsidR="00E37A8B" w:rsidRPr="009320C9">
        <w:rPr>
          <w:rFonts w:ascii="Times New Roman" w:hAnsi="Times New Roman" w:cs="Times New Roman"/>
        </w:rPr>
        <w:t>ther</w:t>
      </w:r>
      <w:r w:rsidR="009F6927" w:rsidRPr="009320C9">
        <w:rPr>
          <w:rFonts w:ascii="Times New Roman" w:hAnsi="Times New Roman" w:cs="Times New Roman"/>
        </w:rPr>
        <w:t>moluminescence</w:t>
      </w:r>
      <w:proofErr w:type="spellEnd"/>
      <w:r w:rsidR="009F6927" w:rsidRPr="009320C9">
        <w:rPr>
          <w:rFonts w:ascii="Times New Roman" w:hAnsi="Times New Roman" w:cs="Times New Roman"/>
        </w:rPr>
        <w:t xml:space="preserve"> signal is enhanced </w:t>
      </w:r>
      <w:r w:rsidR="00E37A8B" w:rsidRPr="009320C9">
        <w:rPr>
          <w:rFonts w:ascii="Times New Roman" w:hAnsi="Times New Roman" w:cs="Times New Roman"/>
        </w:rPr>
        <w:t xml:space="preserve">with </w:t>
      </w:r>
      <w:r w:rsidR="0013109B" w:rsidRPr="009320C9">
        <w:rPr>
          <w:rFonts w:ascii="Times New Roman" w:hAnsi="Times New Roman" w:cs="Times New Roman"/>
        </w:rPr>
        <w:t xml:space="preserve">increase in </w:t>
      </w:r>
      <w:r w:rsidR="00E37A8B" w:rsidRPr="009320C9">
        <w:rPr>
          <w:rFonts w:ascii="Times New Roman" w:hAnsi="Times New Roman" w:cs="Times New Roman"/>
        </w:rPr>
        <w:t xml:space="preserve">the heating rate except for the </w:t>
      </w:r>
      <w:proofErr w:type="spellStart"/>
      <w:r w:rsidR="0075048B" w:rsidRPr="009320C9">
        <w:rPr>
          <w:rFonts w:ascii="Times New Roman" w:hAnsi="Times New Roman" w:cs="Times New Roman"/>
        </w:rPr>
        <w:t>unimplanted</w:t>
      </w:r>
      <w:proofErr w:type="spellEnd"/>
      <w:r w:rsidR="0075048B" w:rsidRPr="009320C9">
        <w:rPr>
          <w:rFonts w:ascii="Times New Roman" w:hAnsi="Times New Roman" w:cs="Times New Roman"/>
        </w:rPr>
        <w:t xml:space="preserve"> sample</w:t>
      </w:r>
      <w:r w:rsidR="00E37A8B" w:rsidRPr="009320C9">
        <w:rPr>
          <w:rFonts w:ascii="Times New Roman" w:hAnsi="Times New Roman" w:cs="Times New Roman"/>
        </w:rPr>
        <w:t xml:space="preserve"> </w:t>
      </w:r>
      <w:r w:rsidR="0013109B" w:rsidRPr="009320C9">
        <w:rPr>
          <w:rFonts w:ascii="Times New Roman" w:hAnsi="Times New Roman" w:cs="Times New Roman"/>
        </w:rPr>
        <w:t xml:space="preserve">where the intensity decreases with heating rate probably due to </w:t>
      </w:r>
      <w:r w:rsidR="0075048B" w:rsidRPr="009320C9">
        <w:rPr>
          <w:rFonts w:ascii="Times New Roman" w:hAnsi="Times New Roman" w:cs="Times New Roman"/>
        </w:rPr>
        <w:t xml:space="preserve">thermal quenching. This mechanism </w:t>
      </w:r>
      <w:r w:rsidR="00E22352" w:rsidRPr="009320C9">
        <w:rPr>
          <w:rFonts w:ascii="Times New Roman" w:hAnsi="Times New Roman" w:cs="Times New Roman"/>
        </w:rPr>
        <w:t xml:space="preserve">which can be described by the </w:t>
      </w:r>
      <w:r w:rsidR="00BB367D" w:rsidRPr="009320C9">
        <w:rPr>
          <w:rFonts w:ascii="Times New Roman" w:hAnsi="Times New Roman" w:cs="Times New Roman"/>
        </w:rPr>
        <w:t xml:space="preserve">Mott-Seitz </w:t>
      </w:r>
      <w:r w:rsidR="00E22352" w:rsidRPr="009320C9">
        <w:rPr>
          <w:rFonts w:ascii="Times New Roman" w:hAnsi="Times New Roman" w:cs="Times New Roman"/>
        </w:rPr>
        <w:t>model</w:t>
      </w:r>
      <w:r w:rsidR="00BB367D" w:rsidRPr="009320C9">
        <w:rPr>
          <w:rFonts w:ascii="Times New Roman" w:hAnsi="Times New Roman" w:cs="Times New Roman"/>
        </w:rPr>
        <w:t xml:space="preserve"> </w:t>
      </w:r>
      <w:r w:rsidR="0075048B" w:rsidRPr="009320C9">
        <w:rPr>
          <w:rFonts w:ascii="Times New Roman" w:hAnsi="Times New Roman" w:cs="Times New Roman"/>
        </w:rPr>
        <w:t>is attributable t</w:t>
      </w:r>
      <w:r w:rsidR="00FF21E1" w:rsidRPr="009320C9">
        <w:rPr>
          <w:rFonts w:ascii="Times New Roman" w:hAnsi="Times New Roman" w:cs="Times New Roman"/>
        </w:rPr>
        <w:t xml:space="preserve">o two competing transitions, i.e. </w:t>
      </w:r>
      <w:proofErr w:type="spellStart"/>
      <w:r w:rsidR="00FF21E1" w:rsidRPr="009320C9">
        <w:rPr>
          <w:rFonts w:ascii="Times New Roman" w:hAnsi="Times New Roman" w:cs="Times New Roman"/>
        </w:rPr>
        <w:t>radiative</w:t>
      </w:r>
      <w:proofErr w:type="spellEnd"/>
      <w:r w:rsidR="00FF21E1" w:rsidRPr="009320C9">
        <w:rPr>
          <w:rFonts w:ascii="Times New Roman" w:hAnsi="Times New Roman" w:cs="Times New Roman"/>
        </w:rPr>
        <w:t xml:space="preserve"> and </w:t>
      </w:r>
      <w:proofErr w:type="spellStart"/>
      <w:r w:rsidR="00FF21E1" w:rsidRPr="009320C9">
        <w:rPr>
          <w:rFonts w:ascii="Times New Roman" w:hAnsi="Times New Roman" w:cs="Times New Roman"/>
        </w:rPr>
        <w:t>nonradiative</w:t>
      </w:r>
      <w:proofErr w:type="spellEnd"/>
      <w:r w:rsidR="00FF21E1" w:rsidRPr="009320C9">
        <w:rPr>
          <w:rFonts w:ascii="Times New Roman" w:hAnsi="Times New Roman" w:cs="Times New Roman"/>
        </w:rPr>
        <w:t xml:space="preserve"> transitions taking place within the recombination centers</w:t>
      </w:r>
      <w:r w:rsidR="00E37A8B" w:rsidRPr="009320C9">
        <w:rPr>
          <w:rFonts w:ascii="Times New Roman" w:hAnsi="Times New Roman" w:cs="Times New Roman"/>
        </w:rPr>
        <w:t>.</w:t>
      </w:r>
      <w:r w:rsidR="00B73C72" w:rsidRPr="009320C9">
        <w:rPr>
          <w:rFonts w:ascii="Times New Roman" w:hAnsi="Times New Roman" w:cs="Times New Roman"/>
        </w:rPr>
        <w:t xml:space="preserve"> </w:t>
      </w:r>
    </w:p>
    <w:p w:rsidR="00F7488D" w:rsidRPr="009320C9" w:rsidRDefault="00F7488D" w:rsidP="0075048B">
      <w:pPr>
        <w:jc w:val="both"/>
        <w:rPr>
          <w:rFonts w:ascii="Times New Roman" w:hAnsi="Times New Roman" w:cs="Times New Roman"/>
        </w:rPr>
      </w:pPr>
    </w:p>
    <w:sectPr w:rsidR="00F7488D" w:rsidRPr="009320C9" w:rsidSect="002A0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809B5"/>
    <w:rsid w:val="00005042"/>
    <w:rsid w:val="00025759"/>
    <w:rsid w:val="000C47EF"/>
    <w:rsid w:val="0013109B"/>
    <w:rsid w:val="00154FB6"/>
    <w:rsid w:val="001809B5"/>
    <w:rsid w:val="00212FC9"/>
    <w:rsid w:val="00237963"/>
    <w:rsid w:val="002853BB"/>
    <w:rsid w:val="002A07E0"/>
    <w:rsid w:val="002E0B61"/>
    <w:rsid w:val="00425CEA"/>
    <w:rsid w:val="004359AF"/>
    <w:rsid w:val="004E082A"/>
    <w:rsid w:val="00565D6E"/>
    <w:rsid w:val="00617B73"/>
    <w:rsid w:val="0063101D"/>
    <w:rsid w:val="0075048B"/>
    <w:rsid w:val="009320C9"/>
    <w:rsid w:val="00990F00"/>
    <w:rsid w:val="009E3539"/>
    <w:rsid w:val="009F6927"/>
    <w:rsid w:val="00A668A0"/>
    <w:rsid w:val="00AD6590"/>
    <w:rsid w:val="00AF0FBA"/>
    <w:rsid w:val="00B462B7"/>
    <w:rsid w:val="00B73C72"/>
    <w:rsid w:val="00BB367D"/>
    <w:rsid w:val="00BD38AA"/>
    <w:rsid w:val="00C70BC3"/>
    <w:rsid w:val="00C84914"/>
    <w:rsid w:val="00D51851"/>
    <w:rsid w:val="00DC5476"/>
    <w:rsid w:val="00DD6196"/>
    <w:rsid w:val="00DD6CFC"/>
    <w:rsid w:val="00DE0561"/>
    <w:rsid w:val="00E16ED9"/>
    <w:rsid w:val="00E22352"/>
    <w:rsid w:val="00E25B4E"/>
    <w:rsid w:val="00E37A8B"/>
    <w:rsid w:val="00E95D5F"/>
    <w:rsid w:val="00ED1F26"/>
    <w:rsid w:val="00F7488D"/>
    <w:rsid w:val="00FB19F0"/>
    <w:rsid w:val="00FB31F9"/>
    <w:rsid w:val="00FF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59"/>
  </w:style>
  <w:style w:type="paragraph" w:styleId="Heading1">
    <w:name w:val="heading 1"/>
    <w:basedOn w:val="Normal"/>
    <w:next w:val="Normal"/>
    <w:link w:val="Heading1Char"/>
    <w:qFormat/>
    <w:rsid w:val="001809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9B5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">
    <w:name w:val="Body Text"/>
    <w:basedOn w:val="Normal"/>
    <w:link w:val="BodyTextChar"/>
    <w:semiHidden/>
    <w:rsid w:val="001809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809B5"/>
    <w:rPr>
      <w:rFonts w:ascii="Times New Roman" w:eastAsia="Times New Roman" w:hAnsi="Times New Roman" w:cs="Times New Roman"/>
      <w:sz w:val="28"/>
      <w:szCs w:val="24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1809B5"/>
    <w:pPr>
      <w:tabs>
        <w:tab w:val="center" w:pos="4160"/>
        <w:tab w:val="right" w:pos="8320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TDisplayEquationChar">
    <w:name w:val="MTDisplayEquation Char"/>
    <w:basedOn w:val="DefaultParagraphFont"/>
    <w:link w:val="MTDisplayEquation"/>
    <w:rsid w:val="001809B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09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9B5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">
    <w:name w:val="Body Text"/>
    <w:basedOn w:val="Normal"/>
    <w:link w:val="BodyTextChar"/>
    <w:semiHidden/>
    <w:rsid w:val="001809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809B5"/>
    <w:rPr>
      <w:rFonts w:ascii="Times New Roman" w:eastAsia="Times New Roman" w:hAnsi="Times New Roman" w:cs="Times New Roman"/>
      <w:sz w:val="28"/>
      <w:szCs w:val="24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1809B5"/>
    <w:pPr>
      <w:tabs>
        <w:tab w:val="center" w:pos="4160"/>
        <w:tab w:val="right" w:pos="8320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TDisplayEquationChar">
    <w:name w:val="MTDisplayEquation Char"/>
    <w:basedOn w:val="DefaultParagraphFont"/>
    <w:link w:val="MTDisplayEquation"/>
    <w:rsid w:val="001809B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9CB092B-0E7D-4DD1-82A4-D7401064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Shadrack</dc:creator>
  <cp:keywords/>
  <dc:description/>
  <cp:lastModifiedBy>Shadrack</cp:lastModifiedBy>
  <cp:revision>2</cp:revision>
  <cp:lastPrinted>2013-02-11T06:03:00Z</cp:lastPrinted>
  <dcterms:created xsi:type="dcterms:W3CDTF">2013-02-11T08:05:00Z</dcterms:created>
  <dcterms:modified xsi:type="dcterms:W3CDTF">2013-02-11T08:05:00Z</dcterms:modified>
</cp:coreProperties>
</file>